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FA918" w14:textId="77777777" w:rsidR="00DA096F" w:rsidRDefault="00DA096F">
      <w:pPr>
        <w:spacing w:before="59"/>
        <w:ind w:left="3818" w:hanging="2646"/>
        <w:rPr>
          <w:b/>
          <w:sz w:val="32"/>
        </w:rPr>
      </w:pPr>
    </w:p>
    <w:p w14:paraId="565B868D" w14:textId="026B7121" w:rsidR="00682B9E" w:rsidRDefault="00E303CD">
      <w:pPr>
        <w:spacing w:before="59"/>
        <w:ind w:left="3818" w:hanging="2646"/>
        <w:rPr>
          <w:b/>
          <w:sz w:val="32"/>
        </w:rPr>
      </w:pPr>
      <w:r w:rsidRPr="00E303CD">
        <w:rPr>
          <w:b/>
          <w:sz w:val="32"/>
        </w:rPr>
        <w:t xml:space="preserve">SW </w:t>
      </w:r>
      <w:r w:rsidR="00207B77" w:rsidRPr="00E303CD">
        <w:rPr>
          <w:b/>
          <w:sz w:val="32"/>
        </w:rPr>
        <w:t>CORPORATE SECURITIES AND FINANCE TRANSACTION INFORMATION SHEET</w:t>
      </w:r>
    </w:p>
    <w:p w14:paraId="1045C098" w14:textId="0544FCED" w:rsidR="00682B9E" w:rsidRDefault="00DA12B0">
      <w:pPr>
        <w:pStyle w:val="BodyText"/>
        <w:spacing w:before="5"/>
        <w:rPr>
          <w:b/>
          <w:sz w:val="35"/>
        </w:rPr>
      </w:pPr>
      <w:r>
        <w:pict w14:anchorId="28949447">
          <v:group id="_x0000_s1061" style="position:absolute;margin-left:326.65pt;margin-top:14.35pt;width:134.85pt;height:17.35pt;z-index:-251661312;mso-position-horizontal-relative:page" coordorigin="6133,-176" coordsize="2697,347">
            <v:line id="_x0000_s1067" style="position:absolute" from="6141,-176" to="6141,170" strokecolor="#9f9f9f" strokeweight=".26369mm"/>
            <v:line id="_x0000_s1066" style="position:absolute" from="6148,-169" to="8830,-169" strokecolor="#9f9f9f" strokeweight=".264mm"/>
            <v:line id="_x0000_s1065" style="position:absolute" from="8822,-161" to="8822,170" strokecolor="#e2e2e2" strokeweight=".26369mm"/>
            <v:line id="_x0000_s1064" style="position:absolute" from="6148,163" to="8815,163" strokecolor="#e2e2e2" strokeweight=".264mm"/>
            <v:line id="_x0000_s1063" style="position:absolute" from="6156,-161" to="6156,155" strokecolor="#696969" strokeweight=".26369mm"/>
            <v:line id="_x0000_s1062" style="position:absolute" from="6163,-154" to="8815,-154" strokecolor="#696969" strokeweight=".264mm"/>
            <w10:wrap anchorx="page"/>
          </v:group>
        </w:pict>
      </w:r>
    </w:p>
    <w:p w14:paraId="5EFA33E0" w14:textId="381DC74A" w:rsidR="00682B9E" w:rsidRDefault="00207B77">
      <w:pPr>
        <w:pStyle w:val="BodyText"/>
        <w:tabs>
          <w:tab w:val="left" w:pos="8218"/>
        </w:tabs>
        <w:spacing w:before="1"/>
        <w:ind w:left="472" w:right="497"/>
      </w:pPr>
      <w:r>
        <w:t>A</w:t>
      </w:r>
      <w:r w:rsidR="00335840">
        <w:t>n SW</w:t>
      </w:r>
      <w:r>
        <w:t xml:space="preserve"> Corporate Securities and Finance Notice is hereby</w:t>
      </w:r>
      <w:r>
        <w:rPr>
          <w:spacing w:val="-11"/>
        </w:rPr>
        <w:t xml:space="preserve"> </w:t>
      </w:r>
      <w:r>
        <w:t>filed</w:t>
      </w:r>
      <w:r>
        <w:rPr>
          <w:spacing w:val="-2"/>
        </w:rPr>
        <w:t xml:space="preserve"> </w:t>
      </w:r>
      <w:r>
        <w:t>by</w:t>
      </w:r>
      <w:r>
        <w:tab/>
      </w:r>
      <w:r w:rsidR="00820EA5">
        <w:t xml:space="preserve">     </w:t>
      </w:r>
      <w:proofErr w:type="gramStart"/>
      <w:r w:rsidR="00820EA5">
        <w:t xml:space="preserve">   </w:t>
      </w:r>
      <w:r>
        <w:t>(</w:t>
      </w:r>
      <w:proofErr w:type="gramEnd"/>
      <w:r>
        <w:t xml:space="preserve">the “Company”) with the Missouri Gaming Commission (the “Commission”) pursuant </w:t>
      </w:r>
      <w:r w:rsidRPr="00E303CD">
        <w:t>to 11 CSR 45-</w:t>
      </w:r>
      <w:r w:rsidR="00E303CD" w:rsidRPr="00E303CD">
        <w:t>20</w:t>
      </w:r>
      <w:r w:rsidR="00E303CD">
        <w:t xml:space="preserve"> </w:t>
      </w:r>
      <w:r>
        <w:t>for the following transaction</w:t>
      </w:r>
      <w:r>
        <w:rPr>
          <w:spacing w:val="-13"/>
        </w:rPr>
        <w:t xml:space="preserve"> </w:t>
      </w:r>
      <w:r>
        <w:t>(the</w:t>
      </w:r>
    </w:p>
    <w:p w14:paraId="3FA4FC1B" w14:textId="77777777" w:rsidR="00682B9E" w:rsidRDefault="00207B77">
      <w:pPr>
        <w:pStyle w:val="BodyText"/>
        <w:ind w:left="472"/>
      </w:pPr>
      <w:r>
        <w:t>“Transaction”).</w:t>
      </w:r>
    </w:p>
    <w:p w14:paraId="37686895" w14:textId="4501B0B8" w:rsidR="00682B9E" w:rsidRDefault="00DA12B0">
      <w:pPr>
        <w:pStyle w:val="BodyText"/>
        <w:ind w:left="472"/>
      </w:pPr>
      <w:r>
        <w:pict w14:anchorId="67C91C4D">
          <v:group id="_x0000_s1054" style="width:507pt;height:38.15pt;mso-position-horizontal-relative:char;mso-position-vertical-relative:line" coordsize="10140,620">
            <v:line id="_x0000_s1060" style="position:absolute" from="7,0" to="7,620" strokecolor="#9f9f9f" strokeweight=".26408mm"/>
            <v:line id="_x0000_s1059" style="position:absolute" from="15,8" to="10140,8" strokecolor="#9f9f9f" strokeweight=".27006mm"/>
            <v:line id="_x0000_s1058" style="position:absolute" from="10132,15" to="10132,620" strokecolor="#e2e2e2" strokeweight=".26408mm"/>
            <v:line id="_x0000_s1057" style="position:absolute" from="15,612" to="10125,612" strokecolor="#e2e2e2" strokeweight=".27006mm"/>
            <v:line id="_x0000_s1056" style="position:absolute" from="22,15" to="22,604" strokecolor="#696969" strokeweight=".26408mm"/>
            <v:line id="_x0000_s1055" style="position:absolute" from="30,23" to="10125,23" strokecolor="#696969" strokeweight=".26164mm"/>
            <w10:anchorlock/>
          </v:group>
        </w:pict>
      </w:r>
    </w:p>
    <w:p w14:paraId="3B80EEA0" w14:textId="77777777" w:rsidR="00682B9E" w:rsidRDefault="00682B9E">
      <w:pPr>
        <w:pStyle w:val="BodyText"/>
        <w:spacing w:before="3"/>
        <w:rPr>
          <w:sz w:val="9"/>
        </w:rPr>
      </w:pPr>
    </w:p>
    <w:p w14:paraId="5C4F4970" w14:textId="77777777" w:rsidR="00682B9E" w:rsidRDefault="00207B77">
      <w:pPr>
        <w:pStyle w:val="BodyText"/>
        <w:spacing w:before="91"/>
        <w:ind w:left="472"/>
      </w:pPr>
      <w:r>
        <w:t>The Company hereby states the following regarding the Transaction:</w:t>
      </w:r>
    </w:p>
    <w:p w14:paraId="68C13B4E" w14:textId="77777777" w:rsidR="00682B9E" w:rsidRDefault="00682B9E">
      <w:pPr>
        <w:pStyle w:val="BodyText"/>
        <w:spacing w:before="1"/>
      </w:pPr>
    </w:p>
    <w:p w14:paraId="580D1592" w14:textId="678D4336" w:rsidR="00682B9E" w:rsidRDefault="00207B77">
      <w:pPr>
        <w:pStyle w:val="ListParagraph"/>
        <w:numPr>
          <w:ilvl w:val="0"/>
          <w:numId w:val="1"/>
        </w:numPr>
        <w:tabs>
          <w:tab w:val="left" w:pos="472"/>
        </w:tabs>
        <w:jc w:val="both"/>
        <w:rPr>
          <w:sz w:val="20"/>
        </w:rPr>
      </w:pPr>
      <w:r>
        <w:rPr>
          <w:sz w:val="20"/>
        </w:rPr>
        <w:t>The Transaction does not involve the pledge, hypothecation</w:t>
      </w:r>
      <w:r w:rsidR="005D727C">
        <w:rPr>
          <w:sz w:val="20"/>
        </w:rPr>
        <w:t>,</w:t>
      </w:r>
      <w:r>
        <w:rPr>
          <w:sz w:val="20"/>
        </w:rPr>
        <w:t xml:space="preserve"> or transfer in any way of any license issued by the Commission or any interest in a license issued by the Commission.</w:t>
      </w:r>
    </w:p>
    <w:p w14:paraId="09017402" w14:textId="77777777" w:rsidR="00682B9E" w:rsidRDefault="00682B9E">
      <w:pPr>
        <w:pStyle w:val="BodyText"/>
        <w:spacing w:before="10"/>
        <w:rPr>
          <w:sz w:val="19"/>
        </w:rPr>
      </w:pPr>
    </w:p>
    <w:p w14:paraId="17CC2EC5" w14:textId="5678BB05" w:rsidR="00682B9E" w:rsidRDefault="00207B77">
      <w:pPr>
        <w:pStyle w:val="ListParagraph"/>
        <w:numPr>
          <w:ilvl w:val="0"/>
          <w:numId w:val="1"/>
        </w:numPr>
        <w:tabs>
          <w:tab w:val="left" w:pos="472"/>
        </w:tabs>
        <w:ind w:right="99"/>
        <w:jc w:val="both"/>
        <w:rPr>
          <w:sz w:val="20"/>
        </w:rPr>
      </w:pPr>
      <w:r>
        <w:rPr>
          <w:sz w:val="20"/>
        </w:rPr>
        <w:t xml:space="preserve">No ownership interest, as defined in </w:t>
      </w:r>
      <w:r w:rsidRPr="00E303CD">
        <w:rPr>
          <w:sz w:val="20"/>
        </w:rPr>
        <w:t>11 CSR 45-</w:t>
      </w:r>
      <w:r w:rsidR="00E303CD" w:rsidRPr="00E303CD">
        <w:rPr>
          <w:sz w:val="20"/>
        </w:rPr>
        <w:t>20</w:t>
      </w:r>
      <w:r w:rsidRPr="00E303CD">
        <w:rPr>
          <w:sz w:val="20"/>
        </w:rPr>
        <w:t>, in</w:t>
      </w:r>
      <w:r>
        <w:rPr>
          <w:sz w:val="20"/>
        </w:rPr>
        <w:t xml:space="preserve"> the Company or any of its affiliates is proposed to be issued or transferred in any manner, except as provided on </w:t>
      </w:r>
      <w:r>
        <w:rPr>
          <w:b/>
          <w:sz w:val="20"/>
        </w:rPr>
        <w:t xml:space="preserve">Exhibit 1 </w:t>
      </w:r>
      <w:r>
        <w:rPr>
          <w:sz w:val="20"/>
        </w:rPr>
        <w:t>attached hereto, which includes copies of all documents evidencing these arrangements, and includes a summary explanation of the arrangements, citing specific pages of the documents for the pertinent</w:t>
      </w:r>
      <w:r>
        <w:rPr>
          <w:spacing w:val="-2"/>
          <w:sz w:val="20"/>
        </w:rPr>
        <w:t xml:space="preserve"> </w:t>
      </w:r>
      <w:r>
        <w:rPr>
          <w:sz w:val="20"/>
        </w:rPr>
        <w:t>provisions.</w:t>
      </w:r>
    </w:p>
    <w:p w14:paraId="0F2AFE55" w14:textId="77777777" w:rsidR="00682B9E" w:rsidRDefault="00682B9E">
      <w:pPr>
        <w:pStyle w:val="BodyText"/>
        <w:spacing w:before="8"/>
        <w:rPr>
          <w:sz w:val="21"/>
        </w:rPr>
      </w:pPr>
    </w:p>
    <w:p w14:paraId="7F6BB048" w14:textId="565C05AE" w:rsidR="00682B9E" w:rsidRDefault="00207B77">
      <w:pPr>
        <w:pStyle w:val="ListParagraph"/>
        <w:numPr>
          <w:ilvl w:val="0"/>
          <w:numId w:val="1"/>
        </w:numPr>
        <w:tabs>
          <w:tab w:val="left" w:pos="472"/>
        </w:tabs>
        <w:ind w:right="100"/>
        <w:jc w:val="both"/>
        <w:rPr>
          <w:sz w:val="20"/>
        </w:rPr>
      </w:pPr>
      <w:r>
        <w:rPr>
          <w:sz w:val="20"/>
        </w:rPr>
        <w:t xml:space="preserve">No ownership interest, as defined in </w:t>
      </w:r>
      <w:r w:rsidRPr="00E303CD">
        <w:rPr>
          <w:sz w:val="20"/>
        </w:rPr>
        <w:t>11 CSR 45-</w:t>
      </w:r>
      <w:r w:rsidR="00E303CD">
        <w:rPr>
          <w:sz w:val="20"/>
        </w:rPr>
        <w:t>20</w:t>
      </w:r>
      <w:r w:rsidRPr="00E303CD">
        <w:rPr>
          <w:sz w:val="20"/>
        </w:rPr>
        <w:t>,</w:t>
      </w:r>
      <w:r>
        <w:rPr>
          <w:sz w:val="20"/>
        </w:rPr>
        <w:t xml:space="preserve"> in the Company or any of its affiliates is proposed to be pledged, hypothecated</w:t>
      </w:r>
      <w:r w:rsidR="005D727C">
        <w:rPr>
          <w:sz w:val="20"/>
        </w:rPr>
        <w:t>,</w:t>
      </w:r>
      <w:r>
        <w:rPr>
          <w:sz w:val="20"/>
        </w:rPr>
        <w:t xml:space="preserve"> or otherwise used as collateral in any manner, except as provided on </w:t>
      </w:r>
      <w:r>
        <w:rPr>
          <w:b/>
          <w:sz w:val="20"/>
        </w:rPr>
        <w:t xml:space="preserve">Exhibit 2 </w:t>
      </w:r>
      <w:r>
        <w:rPr>
          <w:sz w:val="20"/>
        </w:rPr>
        <w:t>attached hereto, which includes copies</w:t>
      </w:r>
      <w:r>
        <w:rPr>
          <w:spacing w:val="-7"/>
          <w:sz w:val="20"/>
        </w:rPr>
        <w:t xml:space="preserve"> </w:t>
      </w:r>
      <w:r>
        <w:rPr>
          <w:sz w:val="20"/>
        </w:rPr>
        <w:t>of</w:t>
      </w:r>
      <w:r>
        <w:rPr>
          <w:spacing w:val="-5"/>
          <w:sz w:val="20"/>
        </w:rPr>
        <w:t xml:space="preserve"> </w:t>
      </w:r>
      <w:r>
        <w:rPr>
          <w:sz w:val="20"/>
        </w:rPr>
        <w:t>all</w:t>
      </w:r>
      <w:r>
        <w:rPr>
          <w:spacing w:val="-6"/>
          <w:sz w:val="20"/>
        </w:rPr>
        <w:t xml:space="preserve"> </w:t>
      </w:r>
      <w:r>
        <w:rPr>
          <w:sz w:val="20"/>
        </w:rPr>
        <w:t>documents</w:t>
      </w:r>
      <w:r>
        <w:rPr>
          <w:spacing w:val="-7"/>
          <w:sz w:val="20"/>
        </w:rPr>
        <w:t xml:space="preserve"> </w:t>
      </w:r>
      <w:r>
        <w:rPr>
          <w:sz w:val="20"/>
        </w:rPr>
        <w:t>evidencing</w:t>
      </w:r>
      <w:r>
        <w:rPr>
          <w:spacing w:val="-5"/>
          <w:sz w:val="20"/>
        </w:rPr>
        <w:t xml:space="preserve"> </w:t>
      </w:r>
      <w:r>
        <w:rPr>
          <w:sz w:val="20"/>
        </w:rPr>
        <w:t>these</w:t>
      </w:r>
      <w:r>
        <w:rPr>
          <w:spacing w:val="-6"/>
          <w:sz w:val="20"/>
        </w:rPr>
        <w:t xml:space="preserve"> </w:t>
      </w:r>
      <w:r>
        <w:rPr>
          <w:sz w:val="20"/>
        </w:rPr>
        <w:t>arrangements,</w:t>
      </w:r>
      <w:r>
        <w:rPr>
          <w:spacing w:val="-5"/>
          <w:sz w:val="20"/>
        </w:rPr>
        <w:t xml:space="preserve"> </w:t>
      </w:r>
      <w:r>
        <w:rPr>
          <w:sz w:val="20"/>
        </w:rPr>
        <w:t>and</w:t>
      </w:r>
      <w:r>
        <w:rPr>
          <w:spacing w:val="-7"/>
          <w:sz w:val="20"/>
        </w:rPr>
        <w:t xml:space="preserve"> </w:t>
      </w:r>
      <w:r>
        <w:rPr>
          <w:sz w:val="20"/>
        </w:rPr>
        <w:t>includes</w:t>
      </w:r>
      <w:r>
        <w:rPr>
          <w:spacing w:val="-6"/>
          <w:sz w:val="20"/>
        </w:rPr>
        <w:t xml:space="preserve"> </w:t>
      </w:r>
      <w:r>
        <w:rPr>
          <w:sz w:val="20"/>
        </w:rPr>
        <w:t>a</w:t>
      </w:r>
      <w:r>
        <w:rPr>
          <w:spacing w:val="-5"/>
          <w:sz w:val="20"/>
        </w:rPr>
        <w:t xml:space="preserve"> </w:t>
      </w:r>
      <w:r>
        <w:rPr>
          <w:sz w:val="20"/>
        </w:rPr>
        <w:t>summary</w:t>
      </w:r>
      <w:r>
        <w:rPr>
          <w:spacing w:val="-5"/>
          <w:sz w:val="20"/>
        </w:rPr>
        <w:t xml:space="preserve"> </w:t>
      </w:r>
      <w:r>
        <w:rPr>
          <w:sz w:val="20"/>
        </w:rPr>
        <w:t>explanation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arrangements,</w:t>
      </w:r>
      <w:r>
        <w:rPr>
          <w:spacing w:val="-5"/>
          <w:sz w:val="20"/>
        </w:rPr>
        <w:t xml:space="preserve"> </w:t>
      </w:r>
      <w:r>
        <w:rPr>
          <w:sz w:val="20"/>
        </w:rPr>
        <w:t>citing</w:t>
      </w:r>
      <w:r>
        <w:rPr>
          <w:spacing w:val="-7"/>
          <w:sz w:val="20"/>
        </w:rPr>
        <w:t xml:space="preserve"> </w:t>
      </w:r>
      <w:r>
        <w:rPr>
          <w:sz w:val="20"/>
        </w:rPr>
        <w:t>specific pages of the documents for the pertinent</w:t>
      </w:r>
      <w:r>
        <w:rPr>
          <w:spacing w:val="-8"/>
          <w:sz w:val="20"/>
        </w:rPr>
        <w:t xml:space="preserve"> </w:t>
      </w:r>
      <w:r>
        <w:rPr>
          <w:sz w:val="20"/>
        </w:rPr>
        <w:t>provisions.</w:t>
      </w:r>
    </w:p>
    <w:p w14:paraId="7F9D62D2" w14:textId="77777777" w:rsidR="00682B9E" w:rsidRDefault="00682B9E">
      <w:pPr>
        <w:pStyle w:val="BodyText"/>
        <w:spacing w:before="5"/>
        <w:rPr>
          <w:sz w:val="21"/>
        </w:rPr>
      </w:pPr>
    </w:p>
    <w:p w14:paraId="53E510FE" w14:textId="27C0D5C1" w:rsidR="00682B9E" w:rsidRDefault="00207B77">
      <w:pPr>
        <w:pStyle w:val="ListParagraph"/>
        <w:numPr>
          <w:ilvl w:val="0"/>
          <w:numId w:val="1"/>
        </w:numPr>
        <w:tabs>
          <w:tab w:val="left" w:pos="472"/>
        </w:tabs>
        <w:jc w:val="both"/>
        <w:rPr>
          <w:sz w:val="20"/>
        </w:rPr>
      </w:pPr>
      <w:r>
        <w:rPr>
          <w:sz w:val="20"/>
        </w:rPr>
        <w:t>The</w:t>
      </w:r>
      <w:r>
        <w:rPr>
          <w:spacing w:val="-10"/>
          <w:sz w:val="20"/>
        </w:rPr>
        <w:t xml:space="preserve"> </w:t>
      </w:r>
      <w:r>
        <w:rPr>
          <w:sz w:val="20"/>
        </w:rPr>
        <w:t>Company</w:t>
      </w:r>
      <w:r>
        <w:rPr>
          <w:spacing w:val="-10"/>
          <w:sz w:val="20"/>
        </w:rPr>
        <w:t xml:space="preserve"> </w:t>
      </w:r>
      <w:r>
        <w:rPr>
          <w:sz w:val="20"/>
        </w:rPr>
        <w:t>and</w:t>
      </w:r>
      <w:r>
        <w:rPr>
          <w:spacing w:val="-10"/>
          <w:sz w:val="20"/>
        </w:rPr>
        <w:t xml:space="preserve"> </w:t>
      </w:r>
      <w:r>
        <w:rPr>
          <w:sz w:val="20"/>
        </w:rPr>
        <w:t>its</w:t>
      </w:r>
      <w:r>
        <w:rPr>
          <w:spacing w:val="-12"/>
          <w:sz w:val="20"/>
        </w:rPr>
        <w:t xml:space="preserve"> </w:t>
      </w:r>
      <w:r>
        <w:rPr>
          <w:sz w:val="20"/>
        </w:rPr>
        <w:t>affiliates</w:t>
      </w:r>
      <w:r>
        <w:rPr>
          <w:spacing w:val="-9"/>
          <w:sz w:val="20"/>
        </w:rPr>
        <w:t xml:space="preserve"> </w:t>
      </w:r>
      <w:r>
        <w:rPr>
          <w:sz w:val="20"/>
        </w:rPr>
        <w:t>understand</w:t>
      </w:r>
      <w:r>
        <w:rPr>
          <w:spacing w:val="-10"/>
          <w:sz w:val="20"/>
        </w:rPr>
        <w:t xml:space="preserve"> </w:t>
      </w:r>
      <w:r>
        <w:rPr>
          <w:sz w:val="20"/>
        </w:rPr>
        <w:t>fully</w:t>
      </w:r>
      <w:r>
        <w:rPr>
          <w:spacing w:val="-10"/>
          <w:sz w:val="20"/>
        </w:rPr>
        <w:t xml:space="preserve"> </w:t>
      </w:r>
      <w:r>
        <w:rPr>
          <w:sz w:val="20"/>
        </w:rPr>
        <w:t>that</w:t>
      </w:r>
      <w:r>
        <w:rPr>
          <w:spacing w:val="-10"/>
          <w:sz w:val="20"/>
        </w:rPr>
        <w:t xml:space="preserve"> </w:t>
      </w:r>
      <w:r>
        <w:rPr>
          <w:sz w:val="20"/>
        </w:rPr>
        <w:t>the</w:t>
      </w:r>
      <w:r>
        <w:rPr>
          <w:spacing w:val="-10"/>
          <w:sz w:val="20"/>
        </w:rPr>
        <w:t xml:space="preserve"> </w:t>
      </w:r>
      <w:r>
        <w:rPr>
          <w:sz w:val="20"/>
        </w:rPr>
        <w:t>Commission’s</w:t>
      </w:r>
      <w:r>
        <w:rPr>
          <w:spacing w:val="-10"/>
          <w:sz w:val="20"/>
        </w:rPr>
        <w:t xml:space="preserve"> </w:t>
      </w:r>
      <w:r>
        <w:rPr>
          <w:sz w:val="20"/>
        </w:rPr>
        <w:t>review</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Transaction</w:t>
      </w:r>
      <w:r>
        <w:rPr>
          <w:spacing w:val="-10"/>
          <w:sz w:val="20"/>
        </w:rPr>
        <w:t xml:space="preserve"> </w:t>
      </w:r>
      <w:r>
        <w:rPr>
          <w:sz w:val="20"/>
        </w:rPr>
        <w:t>will</w:t>
      </w:r>
      <w:r>
        <w:rPr>
          <w:spacing w:val="-11"/>
          <w:sz w:val="20"/>
        </w:rPr>
        <w:t xml:space="preserve"> </w:t>
      </w:r>
      <w:r>
        <w:rPr>
          <w:sz w:val="20"/>
        </w:rPr>
        <w:t>involve</w:t>
      </w:r>
      <w:r>
        <w:rPr>
          <w:spacing w:val="-10"/>
          <w:sz w:val="20"/>
        </w:rPr>
        <w:t xml:space="preserve"> </w:t>
      </w:r>
      <w:r>
        <w:rPr>
          <w:sz w:val="20"/>
        </w:rPr>
        <w:t>issues</w:t>
      </w:r>
      <w:r>
        <w:rPr>
          <w:spacing w:val="-9"/>
          <w:sz w:val="20"/>
        </w:rPr>
        <w:t xml:space="preserve"> </w:t>
      </w:r>
      <w:r>
        <w:rPr>
          <w:sz w:val="20"/>
        </w:rPr>
        <w:t>of</w:t>
      </w:r>
      <w:r>
        <w:rPr>
          <w:spacing w:val="-10"/>
          <w:sz w:val="20"/>
        </w:rPr>
        <w:t xml:space="preserve"> </w:t>
      </w:r>
      <w:r>
        <w:rPr>
          <w:sz w:val="20"/>
        </w:rPr>
        <w:t>suitability to hold a license, and no action or decision to take no action by the Commission based on this review will indicate or suggest that the Commission has considered or passed in any way on the marketability of any securities or any other matter.</w:t>
      </w:r>
    </w:p>
    <w:p w14:paraId="15C9C01C" w14:textId="77777777" w:rsidR="00682B9E" w:rsidRDefault="00682B9E">
      <w:pPr>
        <w:pStyle w:val="BodyText"/>
        <w:spacing w:before="7"/>
        <w:rPr>
          <w:sz w:val="21"/>
        </w:rPr>
      </w:pPr>
    </w:p>
    <w:p w14:paraId="77DBB1DC" w14:textId="4408EAA0" w:rsidR="00682B9E" w:rsidRDefault="00207B77">
      <w:pPr>
        <w:pStyle w:val="ListParagraph"/>
        <w:numPr>
          <w:ilvl w:val="0"/>
          <w:numId w:val="1"/>
        </w:numPr>
        <w:tabs>
          <w:tab w:val="left" w:pos="472"/>
        </w:tabs>
        <w:spacing w:before="1"/>
        <w:jc w:val="both"/>
        <w:rPr>
          <w:sz w:val="20"/>
        </w:rPr>
      </w:pPr>
      <w:r>
        <w:rPr>
          <w:sz w:val="20"/>
        </w:rPr>
        <w:t xml:space="preserve">The Company and its affiliates also understand fully that the review of the transaction </w:t>
      </w:r>
      <w:r w:rsidRPr="00E303CD">
        <w:rPr>
          <w:sz w:val="20"/>
        </w:rPr>
        <w:t>under 11 CSR 45-</w:t>
      </w:r>
      <w:r w:rsidR="00E303CD" w:rsidRPr="00E303CD">
        <w:rPr>
          <w:sz w:val="20"/>
        </w:rPr>
        <w:t>20</w:t>
      </w:r>
      <w:r w:rsidRPr="00E303CD">
        <w:rPr>
          <w:sz w:val="20"/>
        </w:rPr>
        <w:t xml:space="preserve"> does</w:t>
      </w:r>
      <w:r>
        <w:rPr>
          <w:sz w:val="20"/>
        </w:rPr>
        <w:t xml:space="preserve"> not in any way preempt or preclude other investigations related to the Transaction, and that no action or decision to take no action by the Commission shall preempt or preclude any other action of the Commission related to the</w:t>
      </w:r>
      <w:r>
        <w:rPr>
          <w:spacing w:val="-6"/>
          <w:sz w:val="20"/>
        </w:rPr>
        <w:t xml:space="preserve"> </w:t>
      </w:r>
      <w:r>
        <w:rPr>
          <w:sz w:val="20"/>
        </w:rPr>
        <w:t>Transaction.</w:t>
      </w:r>
    </w:p>
    <w:p w14:paraId="42432DE6" w14:textId="77777777" w:rsidR="00682B9E" w:rsidRDefault="00682B9E">
      <w:pPr>
        <w:pStyle w:val="BodyText"/>
        <w:spacing w:before="6"/>
        <w:rPr>
          <w:sz w:val="21"/>
        </w:rPr>
      </w:pPr>
    </w:p>
    <w:p w14:paraId="26449677" w14:textId="77777777" w:rsidR="00682B9E" w:rsidRDefault="00207B77">
      <w:pPr>
        <w:pStyle w:val="ListParagraph"/>
        <w:numPr>
          <w:ilvl w:val="0"/>
          <w:numId w:val="1"/>
        </w:numPr>
        <w:tabs>
          <w:tab w:val="left" w:pos="472"/>
        </w:tabs>
        <w:spacing w:before="1"/>
        <w:ind w:right="108"/>
        <w:jc w:val="both"/>
        <w:rPr>
          <w:sz w:val="20"/>
        </w:rPr>
      </w:pPr>
      <w:r>
        <w:rPr>
          <w:sz w:val="20"/>
        </w:rPr>
        <w:t>The</w:t>
      </w:r>
      <w:r>
        <w:rPr>
          <w:spacing w:val="-11"/>
          <w:sz w:val="20"/>
        </w:rPr>
        <w:t xml:space="preserve"> </w:t>
      </w:r>
      <w:r>
        <w:rPr>
          <w:sz w:val="20"/>
        </w:rPr>
        <w:t>Company</w:t>
      </w:r>
      <w:r>
        <w:rPr>
          <w:spacing w:val="-10"/>
          <w:sz w:val="20"/>
        </w:rPr>
        <w:t xml:space="preserve"> </w:t>
      </w:r>
      <w:r>
        <w:rPr>
          <w:sz w:val="20"/>
        </w:rPr>
        <w:t>will</w:t>
      </w:r>
      <w:r>
        <w:rPr>
          <w:spacing w:val="-11"/>
          <w:sz w:val="20"/>
        </w:rPr>
        <w:t xml:space="preserve"> </w:t>
      </w:r>
      <w:r>
        <w:rPr>
          <w:sz w:val="20"/>
        </w:rPr>
        <w:t>update</w:t>
      </w:r>
      <w:r>
        <w:rPr>
          <w:spacing w:val="-10"/>
          <w:sz w:val="20"/>
        </w:rPr>
        <w:t xml:space="preserve"> </w:t>
      </w:r>
      <w:r>
        <w:rPr>
          <w:sz w:val="20"/>
        </w:rPr>
        <w:t>this</w:t>
      </w:r>
      <w:r>
        <w:rPr>
          <w:spacing w:val="-11"/>
          <w:sz w:val="20"/>
        </w:rPr>
        <w:t xml:space="preserve"> </w:t>
      </w:r>
      <w:r>
        <w:rPr>
          <w:sz w:val="20"/>
        </w:rPr>
        <w:t>Information</w:t>
      </w:r>
      <w:r>
        <w:rPr>
          <w:spacing w:val="-11"/>
          <w:sz w:val="20"/>
        </w:rPr>
        <w:t xml:space="preserve"> </w:t>
      </w:r>
      <w:r>
        <w:rPr>
          <w:sz w:val="20"/>
        </w:rPr>
        <w:t>Sheet</w:t>
      </w:r>
      <w:r>
        <w:rPr>
          <w:spacing w:val="-11"/>
          <w:sz w:val="20"/>
        </w:rPr>
        <w:t xml:space="preserve"> </w:t>
      </w:r>
      <w:r>
        <w:rPr>
          <w:sz w:val="20"/>
        </w:rPr>
        <w:t>immediately</w:t>
      </w:r>
      <w:r>
        <w:rPr>
          <w:spacing w:val="-9"/>
          <w:sz w:val="20"/>
        </w:rPr>
        <w:t xml:space="preserve"> </w:t>
      </w:r>
      <w:r>
        <w:rPr>
          <w:sz w:val="20"/>
        </w:rPr>
        <w:t>with</w:t>
      </w:r>
      <w:r>
        <w:rPr>
          <w:spacing w:val="-10"/>
          <w:sz w:val="20"/>
        </w:rPr>
        <w:t xml:space="preserve"> </w:t>
      </w:r>
      <w:r>
        <w:rPr>
          <w:sz w:val="20"/>
        </w:rPr>
        <w:t>any</w:t>
      </w:r>
      <w:r>
        <w:rPr>
          <w:spacing w:val="-10"/>
          <w:sz w:val="20"/>
        </w:rPr>
        <w:t xml:space="preserve"> </w:t>
      </w:r>
      <w:r>
        <w:rPr>
          <w:sz w:val="20"/>
        </w:rPr>
        <w:t>change</w:t>
      </w:r>
      <w:r>
        <w:rPr>
          <w:spacing w:val="-11"/>
          <w:sz w:val="20"/>
        </w:rPr>
        <w:t xml:space="preserve"> </w:t>
      </w:r>
      <w:r>
        <w:rPr>
          <w:sz w:val="20"/>
        </w:rPr>
        <w:t>of</w:t>
      </w:r>
      <w:r>
        <w:rPr>
          <w:spacing w:val="-10"/>
          <w:sz w:val="20"/>
        </w:rPr>
        <w:t xml:space="preserve"> </w:t>
      </w:r>
      <w:r>
        <w:rPr>
          <w:sz w:val="20"/>
        </w:rPr>
        <w:t>information</w:t>
      </w:r>
      <w:r>
        <w:rPr>
          <w:spacing w:val="-10"/>
          <w:sz w:val="20"/>
        </w:rPr>
        <w:t xml:space="preserve"> </w:t>
      </w:r>
      <w:r>
        <w:rPr>
          <w:sz w:val="20"/>
        </w:rPr>
        <w:t>and,</w:t>
      </w:r>
      <w:r>
        <w:rPr>
          <w:spacing w:val="-10"/>
          <w:sz w:val="20"/>
        </w:rPr>
        <w:t xml:space="preserve"> </w:t>
      </w:r>
      <w:r>
        <w:rPr>
          <w:sz w:val="20"/>
        </w:rPr>
        <w:t>if</w:t>
      </w:r>
      <w:r>
        <w:rPr>
          <w:spacing w:val="-10"/>
          <w:sz w:val="20"/>
        </w:rPr>
        <w:t xml:space="preserve"> </w:t>
      </w:r>
      <w:proofErr w:type="gramStart"/>
      <w:r>
        <w:rPr>
          <w:sz w:val="20"/>
        </w:rPr>
        <w:t>documents</w:t>
      </w:r>
      <w:proofErr w:type="gramEnd"/>
      <w:r>
        <w:rPr>
          <w:spacing w:val="-11"/>
          <w:sz w:val="20"/>
        </w:rPr>
        <w:t xml:space="preserve"> </w:t>
      </w:r>
      <w:r>
        <w:rPr>
          <w:sz w:val="20"/>
        </w:rPr>
        <w:t>that</w:t>
      </w:r>
      <w:r>
        <w:rPr>
          <w:spacing w:val="-11"/>
          <w:sz w:val="20"/>
        </w:rPr>
        <w:t xml:space="preserve"> </w:t>
      </w:r>
      <w:r>
        <w:rPr>
          <w:sz w:val="20"/>
        </w:rPr>
        <w:t>are</w:t>
      </w:r>
      <w:r>
        <w:rPr>
          <w:spacing w:val="-10"/>
          <w:sz w:val="20"/>
        </w:rPr>
        <w:t xml:space="preserve"> </w:t>
      </w:r>
      <w:r>
        <w:rPr>
          <w:sz w:val="20"/>
        </w:rPr>
        <w:t xml:space="preserve">attached are revised, the Company will provide the revised versions marked clearly to show </w:t>
      </w:r>
      <w:proofErr w:type="gramStart"/>
      <w:r>
        <w:rPr>
          <w:sz w:val="20"/>
        </w:rPr>
        <w:t>all of</w:t>
      </w:r>
      <w:proofErr w:type="gramEnd"/>
      <w:r>
        <w:rPr>
          <w:sz w:val="20"/>
        </w:rPr>
        <w:t xml:space="preserve"> the</w:t>
      </w:r>
      <w:r>
        <w:rPr>
          <w:spacing w:val="-1"/>
          <w:sz w:val="20"/>
        </w:rPr>
        <w:t xml:space="preserve"> </w:t>
      </w:r>
      <w:r>
        <w:rPr>
          <w:sz w:val="20"/>
        </w:rPr>
        <w:t>revisions.</w:t>
      </w:r>
    </w:p>
    <w:p w14:paraId="304D18C4" w14:textId="77777777" w:rsidR="00682B9E" w:rsidRDefault="00682B9E">
      <w:pPr>
        <w:pStyle w:val="BodyText"/>
      </w:pPr>
    </w:p>
    <w:p w14:paraId="18BBE043" w14:textId="77777777" w:rsidR="00682B9E" w:rsidRDefault="00DA12B0">
      <w:pPr>
        <w:pStyle w:val="BodyText"/>
        <w:spacing w:before="4"/>
        <w:rPr>
          <w:sz w:val="17"/>
        </w:rPr>
      </w:pPr>
      <w:r>
        <w:pict w14:anchorId="294FB0B5">
          <v:group id="_x0000_s1047" style="position:absolute;margin-left:57.65pt;margin-top:12.35pt;width:260.4pt;height:17.35pt;z-index:-251660288;mso-wrap-distance-left:0;mso-wrap-distance-right:0;mso-position-horizontal-relative:page" coordorigin="1153,247" coordsize="5208,347">
            <v:line id="_x0000_s1053" style="position:absolute" from="1161,247" to="1161,593" strokecolor="#9f9f9f" strokeweight=".26403mm"/>
            <v:line id="_x0000_s1052" style="position:absolute" from="1168,255" to="6361,255" strokecolor="#9f9f9f" strokeweight=".264mm"/>
            <v:line id="_x0000_s1051" style="position:absolute" from="6354,262" to="6354,593" strokecolor="#e2e2e2" strokeweight=".26403mm"/>
            <v:line id="_x0000_s1050" style="position:absolute" from="1168,586" to="6346,586" strokecolor="#e2e2e2" strokeweight=".264mm"/>
            <v:line id="_x0000_s1049" style="position:absolute" from="1176,262" to="1176,579" strokecolor="#696969" strokeweight=".26403mm"/>
            <v:line id="_x0000_s1048" style="position:absolute" from="1183,270" to="6346,270" strokecolor="#696969" strokeweight=".264mm"/>
            <w10:wrap type="topAndBottom" anchorx="page"/>
          </v:group>
        </w:pict>
      </w:r>
    </w:p>
    <w:p w14:paraId="7A9721A2" w14:textId="77777777" w:rsidR="00682B9E" w:rsidRDefault="00207B77">
      <w:pPr>
        <w:pStyle w:val="BodyText"/>
        <w:spacing w:line="213" w:lineRule="exact"/>
        <w:ind w:left="472"/>
      </w:pPr>
      <w:r>
        <w:t>(Signature)</w:t>
      </w:r>
    </w:p>
    <w:p w14:paraId="12F24601" w14:textId="77777777" w:rsidR="00682B9E" w:rsidRDefault="00DA12B0">
      <w:pPr>
        <w:pStyle w:val="BodyText"/>
        <w:spacing w:before="8"/>
        <w:rPr>
          <w:sz w:val="15"/>
        </w:rPr>
      </w:pPr>
      <w:r>
        <w:pict w14:anchorId="713AD775">
          <v:group id="_x0000_s1040" style="position:absolute;margin-left:57.65pt;margin-top:11.4pt;width:258.9pt;height:17.3pt;z-index:-251659264;mso-wrap-distance-left:0;mso-wrap-distance-right:0;mso-position-horizontal-relative:page" coordorigin="1153,228" coordsize="5178,346">
            <v:line id="_x0000_s1046" style="position:absolute" from="1161,228" to="1161,573" strokecolor="#9f9f9f" strokeweight=".264mm"/>
            <v:line id="_x0000_s1045" style="position:absolute" from="1168,236" to="6330,236" strokecolor="#9f9f9f" strokeweight=".26328mm"/>
            <v:line id="_x0000_s1044" style="position:absolute" from="6323,243" to="6323,573" strokecolor="#e2e2e2" strokeweight=".264mm"/>
            <v:line id="_x0000_s1043" style="position:absolute" from="1168,566" to="6315,566" strokecolor="#e2e2e2" strokeweight=".26328mm"/>
            <v:line id="_x0000_s1042" style="position:absolute" from="1176,243" to="1176,558" strokecolor="#696969" strokeweight=".264mm"/>
            <v:line id="_x0000_s1041" style="position:absolute" from="1183,251" to="6315,251" strokecolor="#696969" strokeweight=".26328mm"/>
            <w10:wrap type="topAndBottom" anchorx="page"/>
          </v:group>
        </w:pict>
      </w:r>
    </w:p>
    <w:p w14:paraId="73745B78" w14:textId="77777777" w:rsidR="00682B9E" w:rsidRDefault="00207B77">
      <w:pPr>
        <w:pStyle w:val="BodyText"/>
        <w:spacing w:line="213" w:lineRule="exact"/>
        <w:ind w:left="472"/>
      </w:pPr>
      <w:r>
        <w:t>(Name Printed or Typed)</w:t>
      </w:r>
    </w:p>
    <w:p w14:paraId="51E5F2E5" w14:textId="77777777" w:rsidR="00682B9E" w:rsidRDefault="00DA12B0">
      <w:pPr>
        <w:pStyle w:val="BodyText"/>
        <w:spacing w:before="7"/>
        <w:rPr>
          <w:sz w:val="15"/>
        </w:rPr>
      </w:pPr>
      <w:r>
        <w:pict w14:anchorId="79689D2F">
          <v:group id="_x0000_s1033" style="position:absolute;margin-left:57.65pt;margin-top:11.35pt;width:257.75pt;height:17.35pt;z-index:-251658240;mso-wrap-distance-left:0;mso-wrap-distance-right:0;mso-position-horizontal-relative:page" coordorigin="1153,227" coordsize="5155,347">
            <v:line id="_x0000_s1039" style="position:absolute" from="1161,227" to="1161,574" strokecolor="#9f9f9f" strokeweight=".26417mm"/>
            <v:line id="_x0000_s1038" style="position:absolute" from="1168,235" to="6307,235" strokecolor="#9f9f9f" strokeweight=".264mm"/>
            <v:line id="_x0000_s1037" style="position:absolute" from="6300,242" to="6300,574" strokecolor="#e2e2e2" strokeweight=".26417mm"/>
            <v:line id="_x0000_s1036" style="position:absolute" from="1168,566" to="6292,566" strokecolor="#e2e2e2" strokeweight=".264mm"/>
            <v:line id="_x0000_s1035" style="position:absolute" from="1176,242" to="1176,559" strokecolor="#696969" strokeweight=".26417mm"/>
            <v:line id="_x0000_s1034" style="position:absolute" from="1183,250" to="6293,250" strokecolor="#696969" strokeweight=".264mm"/>
            <w10:wrap type="topAndBottom" anchorx="page"/>
          </v:group>
        </w:pict>
      </w:r>
    </w:p>
    <w:p w14:paraId="7DA40F08" w14:textId="77777777" w:rsidR="00682B9E" w:rsidRDefault="00207B77">
      <w:pPr>
        <w:pStyle w:val="BodyText"/>
        <w:spacing w:line="213" w:lineRule="exact"/>
        <w:ind w:left="522"/>
      </w:pPr>
      <w:r>
        <w:t>(Title)</w:t>
      </w:r>
    </w:p>
    <w:p w14:paraId="19E1AFED" w14:textId="77777777" w:rsidR="00682B9E" w:rsidRDefault="00DA12B0">
      <w:pPr>
        <w:pStyle w:val="BodyText"/>
        <w:spacing w:before="9"/>
        <w:rPr>
          <w:sz w:val="15"/>
        </w:rPr>
      </w:pPr>
      <w:r>
        <w:pict w14:anchorId="3D6313AD">
          <v:group id="_x0000_s1026" style="position:absolute;margin-left:57.65pt;margin-top:11.45pt;width:257.3pt;height:17.35pt;z-index:-251657216;mso-wrap-distance-left:0;mso-wrap-distance-right:0;mso-position-horizontal-relative:page" coordorigin="1153,229" coordsize="5146,347">
            <v:line id="_x0000_s1032" style="position:absolute" from="1161,229" to="1161,575" strokecolor="#9f9f9f" strokeweight=".26397mm"/>
            <v:line id="_x0000_s1031" style="position:absolute" from="1168,237" to="6299,237" strokecolor="#9f9f9f" strokeweight=".264mm"/>
            <v:line id="_x0000_s1030" style="position:absolute" from="6291,244" to="6291,575" strokecolor="#e2e2e2" strokeweight=".26397mm"/>
            <v:line id="_x0000_s1029" style="position:absolute" from="1168,568" to="6284,568" strokecolor="#e2e2e2" strokeweight=".264mm"/>
            <v:line id="_x0000_s1028" style="position:absolute" from="1176,244" to="1176,560" strokecolor="#696969" strokeweight=".26397mm"/>
            <v:line id="_x0000_s1027" style="position:absolute" from="1183,252" to="6284,252" strokecolor="#696969" strokeweight=".264mm"/>
            <w10:wrap type="topAndBottom" anchorx="page"/>
          </v:group>
        </w:pict>
      </w:r>
    </w:p>
    <w:p w14:paraId="0226E10E" w14:textId="77777777" w:rsidR="00682B9E" w:rsidRDefault="00207B77">
      <w:pPr>
        <w:pStyle w:val="BodyText"/>
        <w:spacing w:line="213" w:lineRule="exact"/>
        <w:ind w:left="472"/>
      </w:pPr>
      <w:r>
        <w:t>(“Company”)</w:t>
      </w:r>
    </w:p>
    <w:sectPr w:rsidR="00682B9E">
      <w:type w:val="continuous"/>
      <w:pgSz w:w="12240" w:h="15840"/>
      <w:pgMar w:top="660" w:right="7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53D9B"/>
    <w:multiLevelType w:val="hybridMultilevel"/>
    <w:tmpl w:val="57C45D5A"/>
    <w:lvl w:ilvl="0" w:tplc="BD006022">
      <w:start w:val="1"/>
      <w:numFmt w:val="decimal"/>
      <w:lvlText w:val="%1."/>
      <w:lvlJc w:val="left"/>
      <w:pPr>
        <w:ind w:left="472" w:hanging="360"/>
        <w:jc w:val="left"/>
      </w:pPr>
      <w:rPr>
        <w:rFonts w:ascii="Times New Roman" w:eastAsia="Times New Roman" w:hAnsi="Times New Roman" w:cs="Times New Roman" w:hint="default"/>
        <w:spacing w:val="0"/>
        <w:w w:val="99"/>
        <w:sz w:val="20"/>
        <w:szCs w:val="20"/>
        <w:lang w:val="en-US" w:eastAsia="en-US" w:bidi="en-US"/>
      </w:rPr>
    </w:lvl>
    <w:lvl w:ilvl="1" w:tplc="926E1822">
      <w:numFmt w:val="bullet"/>
      <w:lvlText w:val="•"/>
      <w:lvlJc w:val="left"/>
      <w:pPr>
        <w:ind w:left="1512" w:hanging="360"/>
      </w:pPr>
      <w:rPr>
        <w:rFonts w:hint="default"/>
        <w:lang w:val="en-US" w:eastAsia="en-US" w:bidi="en-US"/>
      </w:rPr>
    </w:lvl>
    <w:lvl w:ilvl="2" w:tplc="2B3E7096">
      <w:numFmt w:val="bullet"/>
      <w:lvlText w:val="•"/>
      <w:lvlJc w:val="left"/>
      <w:pPr>
        <w:ind w:left="2544" w:hanging="360"/>
      </w:pPr>
      <w:rPr>
        <w:rFonts w:hint="default"/>
        <w:lang w:val="en-US" w:eastAsia="en-US" w:bidi="en-US"/>
      </w:rPr>
    </w:lvl>
    <w:lvl w:ilvl="3" w:tplc="C6962150">
      <w:numFmt w:val="bullet"/>
      <w:lvlText w:val="•"/>
      <w:lvlJc w:val="left"/>
      <w:pPr>
        <w:ind w:left="3576" w:hanging="360"/>
      </w:pPr>
      <w:rPr>
        <w:rFonts w:hint="default"/>
        <w:lang w:val="en-US" w:eastAsia="en-US" w:bidi="en-US"/>
      </w:rPr>
    </w:lvl>
    <w:lvl w:ilvl="4" w:tplc="6DCC8764">
      <w:numFmt w:val="bullet"/>
      <w:lvlText w:val="•"/>
      <w:lvlJc w:val="left"/>
      <w:pPr>
        <w:ind w:left="4608" w:hanging="360"/>
      </w:pPr>
      <w:rPr>
        <w:rFonts w:hint="default"/>
        <w:lang w:val="en-US" w:eastAsia="en-US" w:bidi="en-US"/>
      </w:rPr>
    </w:lvl>
    <w:lvl w:ilvl="5" w:tplc="93E0832C">
      <w:numFmt w:val="bullet"/>
      <w:lvlText w:val="•"/>
      <w:lvlJc w:val="left"/>
      <w:pPr>
        <w:ind w:left="5640" w:hanging="360"/>
      </w:pPr>
      <w:rPr>
        <w:rFonts w:hint="default"/>
        <w:lang w:val="en-US" w:eastAsia="en-US" w:bidi="en-US"/>
      </w:rPr>
    </w:lvl>
    <w:lvl w:ilvl="6" w:tplc="B71E99A6">
      <w:numFmt w:val="bullet"/>
      <w:lvlText w:val="•"/>
      <w:lvlJc w:val="left"/>
      <w:pPr>
        <w:ind w:left="6672" w:hanging="360"/>
      </w:pPr>
      <w:rPr>
        <w:rFonts w:hint="default"/>
        <w:lang w:val="en-US" w:eastAsia="en-US" w:bidi="en-US"/>
      </w:rPr>
    </w:lvl>
    <w:lvl w:ilvl="7" w:tplc="2132C0DE">
      <w:numFmt w:val="bullet"/>
      <w:lvlText w:val="•"/>
      <w:lvlJc w:val="left"/>
      <w:pPr>
        <w:ind w:left="7704" w:hanging="360"/>
      </w:pPr>
      <w:rPr>
        <w:rFonts w:hint="default"/>
        <w:lang w:val="en-US" w:eastAsia="en-US" w:bidi="en-US"/>
      </w:rPr>
    </w:lvl>
    <w:lvl w:ilvl="8" w:tplc="A87C1C8A">
      <w:numFmt w:val="bullet"/>
      <w:lvlText w:val="•"/>
      <w:lvlJc w:val="left"/>
      <w:pPr>
        <w:ind w:left="8736" w:hanging="360"/>
      </w:pPr>
      <w:rPr>
        <w:rFonts w:hint="default"/>
        <w:lang w:val="en-US" w:eastAsia="en-US" w:bidi="en-US"/>
      </w:rPr>
    </w:lvl>
  </w:abstractNum>
  <w:num w:numId="1" w16cid:durableId="159293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82B9E"/>
    <w:rsid w:val="001A70BB"/>
    <w:rsid w:val="00207B77"/>
    <w:rsid w:val="002929DD"/>
    <w:rsid w:val="002E08E4"/>
    <w:rsid w:val="00335840"/>
    <w:rsid w:val="00365CAE"/>
    <w:rsid w:val="005D727C"/>
    <w:rsid w:val="00617A2F"/>
    <w:rsid w:val="00682B9E"/>
    <w:rsid w:val="00820EA5"/>
    <w:rsid w:val="00A1240D"/>
    <w:rsid w:val="00DA096F"/>
    <w:rsid w:val="00DA12B0"/>
    <w:rsid w:val="00DE4061"/>
    <w:rsid w:val="00E3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4F5D0141"/>
  <w15:docId w15:val="{26898B55-D6E4-423C-8142-0B53031E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2" w:right="98"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5D727C"/>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Hemmel</dc:creator>
  <cp:lastModifiedBy>webteam-dev</cp:lastModifiedBy>
  <cp:revision>8</cp:revision>
  <dcterms:created xsi:type="dcterms:W3CDTF">2025-01-24T12:48:00Z</dcterms:created>
  <dcterms:modified xsi:type="dcterms:W3CDTF">2025-05-28T13:48:00Z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for Microsoft 365</vt:lpwstr>
  </property>
  <property fmtid="{D5CDD505-2E9C-101B-9397-08002B2CF9AE}" pid="4" name="LastSaved">
    <vt:filetime>2025-01-24T00:00:00Z</vt:filetime>
  </property>
</Properties>
</file>